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both"/>
        <w:textAlignment w:val="auto"/>
        <w:rPr>
          <w:rFonts w:hint="eastAsia" w:ascii="黑体" w:hAnsi="黑体" w:eastAsia="黑体" w:cs="黑体"/>
          <w:b w:val="0"/>
          <w:bCs w:val="0"/>
          <w:kern w:val="0"/>
          <w:sz w:val="32"/>
          <w:szCs w:val="32"/>
          <w:lang w:val="en-US" w:eastAsia="zh-CN"/>
          <w14:ligatures w14:val="standardContextual"/>
        </w:rPr>
      </w:pPr>
      <w:bookmarkStart w:id="0" w:name="OLE_LINK1"/>
      <w:r>
        <w:rPr>
          <w:rFonts w:hint="eastAsia" w:ascii="黑体" w:hAnsi="黑体" w:eastAsia="黑体" w:cs="黑体"/>
          <w:b w:val="0"/>
          <w:bCs w:val="0"/>
          <w:kern w:val="0"/>
          <w:sz w:val="32"/>
          <w:szCs w:val="32"/>
          <w:lang w:val="en-US" w:eastAsia="zh-CN"/>
          <w14:ligatures w14:val="standardContextual"/>
        </w:rPr>
        <w:t>附件1</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方正小标宋简体"/>
          <w:b w:val="0"/>
          <w:bCs w:val="0"/>
          <w:kern w:val="0"/>
          <w:sz w:val="44"/>
          <w:szCs w:val="44"/>
          <w:lang w:val="en-US" w:eastAsia="zh-CN"/>
          <w14:ligatures w14:val="standardContextual"/>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方正小标宋简体"/>
          <w:b w:val="0"/>
          <w:bCs w:val="0"/>
          <w:kern w:val="0"/>
          <w:sz w:val="44"/>
          <w:szCs w:val="44"/>
          <w:lang w:val="en-US" w:eastAsia="zh-CN"/>
          <w14:ligatures w14:val="standardContextual"/>
        </w:rPr>
      </w:pPr>
      <w:r>
        <w:rPr>
          <w:rFonts w:hint="eastAsia" w:ascii="Times New Roman" w:hAnsi="Times New Roman" w:eastAsia="方正小标宋简体" w:cs="方正小标宋简体"/>
          <w:b w:val="0"/>
          <w:bCs w:val="0"/>
          <w:kern w:val="0"/>
          <w:sz w:val="44"/>
          <w:szCs w:val="44"/>
          <w:lang w:val="en-US" w:eastAsia="zh-CN"/>
          <w14:ligatures w14:val="standardContextual"/>
        </w:rPr>
        <w:t>禁止垄断协议规定</w:t>
      </w:r>
      <w:bookmarkEnd w:id="0"/>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楷体" w:hAnsi="楷体" w:eastAsia="楷体" w:cs="楷体"/>
          <w:sz w:val="32"/>
          <w:szCs w:val="32"/>
        </w:rPr>
      </w:pPr>
      <w:r>
        <w:rPr>
          <w:rFonts w:hint="eastAsia" w:ascii="楷体" w:hAnsi="楷体" w:eastAsia="楷体" w:cs="楷体"/>
          <w:b w:val="0"/>
          <w:bCs w:val="0"/>
          <w:kern w:val="0"/>
          <w:sz w:val="32"/>
          <w:szCs w:val="32"/>
          <w:lang w:val="en-US" w:eastAsia="zh-CN"/>
          <w14:ligatures w14:val="standardContextual"/>
        </w:rPr>
        <w:t>（修订草案征求意见稿）</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textAlignment w:val="auto"/>
        <w:rPr>
          <w:rFonts w:hint="eastAsia" w:ascii="Times New Roman" w:hAnsi="Times New Roman" w:eastAsia="黑体" w:cs="黑体"/>
          <w:kern w:val="0"/>
          <w:sz w:val="30"/>
          <w:szCs w:val="30"/>
          <w:highlight w:val="none"/>
          <w:lang w:val="en-US" w:eastAsia="zh-CN"/>
          <w14:ligatures w14:val="standardContextual"/>
        </w:rPr>
      </w:pPr>
    </w:p>
    <w:p>
      <w:pPr>
        <w:keepNext w:val="0"/>
        <w:keepLines w:val="0"/>
        <w:pageBreakBefore w:val="0"/>
        <w:widowControl w:val="0"/>
        <w:kinsoku/>
        <w:wordWrap/>
        <w:overflowPunct/>
        <w:topLinePunct w:val="0"/>
        <w:autoSpaceDE w:val="0"/>
        <w:autoSpaceDN w:val="0"/>
        <w:bidi w:val="0"/>
        <w:adjustRightInd w:val="0"/>
        <w:snapToGrid/>
        <w:spacing w:after="120" w:line="5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为落实《反垄断法》第十八条第三款要求，制定垄断协议“安全港”制度的具体适用标准和条件，为经营者和执法机构提供更为清晰明确的指引，</w:t>
      </w:r>
      <w:bookmarkStart w:id="1" w:name="_GoBack"/>
      <w:bookmarkEnd w:id="1"/>
      <w:r>
        <w:rPr>
          <w:rFonts w:hint="default" w:ascii="Times New Roman" w:hAnsi="Times New Roman" w:eastAsia="仿宋_GB2312" w:cs="Times New Roman"/>
          <w:b w:val="0"/>
          <w:bCs w:val="0"/>
          <w:sz w:val="32"/>
          <w:szCs w:val="32"/>
          <w:lang w:val="en-US" w:eastAsia="zh-CN"/>
        </w:rPr>
        <w:t>在《禁止垄断协议规定》</w:t>
      </w:r>
      <w:r>
        <w:rPr>
          <w:rFonts w:hint="eastAsia" w:ascii="Times New Roman" w:hAnsi="Times New Roman" w:eastAsia="仿宋_GB2312" w:cs="Times New Roman"/>
          <w:b w:val="0"/>
          <w:bCs w:val="0"/>
          <w:sz w:val="32"/>
          <w:szCs w:val="32"/>
          <w:lang w:val="en-US" w:eastAsia="zh-CN"/>
        </w:rPr>
        <w:t>中</w:t>
      </w:r>
      <w:r>
        <w:rPr>
          <w:rFonts w:hint="default" w:ascii="Times New Roman" w:hAnsi="Times New Roman" w:eastAsia="仿宋_GB2312" w:cs="Times New Roman"/>
          <w:b w:val="0"/>
          <w:bCs w:val="0"/>
          <w:sz w:val="32"/>
          <w:szCs w:val="32"/>
          <w:lang w:val="en-US" w:eastAsia="zh-CN"/>
        </w:rPr>
        <w:t>修改一条，增加一条，具体如下：</w:t>
      </w:r>
    </w:p>
    <w:tbl>
      <w:tblPr>
        <w:tblStyle w:val="5"/>
        <w:tblW w:w="9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1"/>
        <w:gridCol w:w="4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581"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黑体" w:hAnsi="黑体" w:eastAsia="黑体" w:cs="黑体"/>
                <w:b w:val="0"/>
                <w:bCs w:val="0"/>
                <w:sz w:val="30"/>
                <w:szCs w:val="30"/>
                <w:vertAlign w:val="baseline"/>
                <w:lang w:val="en-US" w:eastAsia="zh-CN"/>
              </w:rPr>
              <w:t>现行规定</w:t>
            </w:r>
          </w:p>
        </w:tc>
        <w:tc>
          <w:tcPr>
            <w:tcW w:w="4447"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黑体" w:hAnsi="黑体" w:eastAsia="黑体" w:cs="黑体"/>
                <w:b w:val="0"/>
                <w:bCs w:val="0"/>
                <w:sz w:val="30"/>
                <w:szCs w:val="30"/>
                <w:vertAlign w:val="baseline"/>
                <w:lang w:val="en-US" w:eastAsia="zh-CN"/>
              </w:rPr>
              <w:t>修订草案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4581" w:type="dxa"/>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94" w:lineRule="exact"/>
              <w:ind w:firstLine="641"/>
              <w:textAlignment w:val="auto"/>
              <w:rPr>
                <w:rFonts w:hint="default" w:ascii="Times New Roman" w:hAnsi="Times New Roman" w:eastAsia="仿宋_GB2312" w:cs="Times New Roman"/>
                <w:kern w:val="0"/>
                <w:sz w:val="30"/>
                <w:szCs w:val="30"/>
                <w:highlight w:val="none"/>
                <w:lang w:val="en-US" w:eastAsia="zh-CN"/>
                <w14:ligatures w14:val="standardContextual"/>
              </w:rPr>
            </w:pPr>
            <w:r>
              <w:rPr>
                <w:rFonts w:hint="eastAsia" w:ascii="黑体" w:hAnsi="黑体" w:eastAsia="黑体" w:cs="黑体"/>
                <w:kern w:val="0"/>
                <w:sz w:val="30"/>
                <w:szCs w:val="30"/>
                <w:highlight w:val="none"/>
                <w:lang w:val="en-US" w:eastAsia="zh-CN"/>
                <w14:ligatures w14:val="standardContextual"/>
              </w:rPr>
              <w:t>第十七条</w:t>
            </w:r>
            <w:r>
              <w:rPr>
                <w:rFonts w:hint="eastAsia" w:ascii="Times New Roman" w:hAnsi="Times New Roman" w:eastAsia="仿宋_GB2312" w:cs="仿宋_GB2312"/>
                <w:kern w:val="0"/>
                <w:sz w:val="32"/>
                <w:szCs w:val="32"/>
                <w:highlight w:val="none"/>
                <w:lang w:val="en-US" w:eastAsia="zh-CN"/>
                <w14:ligatures w14:val="standardContextual"/>
              </w:rPr>
              <w:t xml:space="preserve">  </w:t>
            </w:r>
            <w:r>
              <w:rPr>
                <w:rFonts w:hint="default" w:ascii="Times New Roman" w:hAnsi="Times New Roman" w:eastAsia="仿宋_GB2312" w:cs="Times New Roman"/>
                <w:kern w:val="0"/>
                <w:sz w:val="30"/>
                <w:szCs w:val="30"/>
                <w:highlight w:val="none"/>
                <w:lang w:val="en-US" w:eastAsia="zh-CN"/>
                <w14:ligatures w14:val="standardContextual"/>
              </w:rPr>
              <w:t>经营者与交易相对人达成协议，经营者能够证明参与协议的经营者在相关市场的市场份额低于市场监管总局规定的标准，并符合市场监管总局规定的其他条件的，不予禁止。</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仿宋_GB2312" w:eastAsia="仿宋_GB2312" w:cs="仿宋_GB2312"/>
                <w:b w:val="0"/>
                <w:bCs w:val="0"/>
                <w:sz w:val="32"/>
                <w:szCs w:val="32"/>
                <w:vertAlign w:val="baseline"/>
                <w:lang w:val="en-US" w:eastAsia="zh-CN"/>
              </w:rPr>
            </w:pPr>
          </w:p>
        </w:tc>
        <w:tc>
          <w:tcPr>
            <w:tcW w:w="4447" w:type="dxa"/>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94" w:lineRule="exact"/>
              <w:ind w:firstLine="640"/>
              <w:textAlignment w:val="auto"/>
              <w:rPr>
                <w:rFonts w:hint="default" w:ascii="Times New Roman" w:hAnsi="Times New Roman" w:eastAsia="仿宋_GB2312" w:cs="Times New Roman"/>
                <w:kern w:val="0"/>
                <w:sz w:val="30"/>
                <w:szCs w:val="30"/>
                <w:highlight w:val="none"/>
                <w:lang w:val="en-US" w:eastAsia="zh-CN"/>
                <w14:ligatures w14:val="standardContextual"/>
              </w:rPr>
            </w:pPr>
            <w:r>
              <w:rPr>
                <w:rFonts w:hint="default" w:ascii="Times New Roman" w:hAnsi="Times New Roman" w:eastAsia="黑体" w:cs="Times New Roman"/>
                <w:kern w:val="0"/>
                <w:sz w:val="30"/>
                <w:szCs w:val="30"/>
                <w:highlight w:val="none"/>
                <w:lang w:val="en-US" w:eastAsia="zh-CN"/>
                <w14:ligatures w14:val="standardContextual"/>
              </w:rPr>
              <w:t>第十七条</w:t>
            </w:r>
            <w:r>
              <w:rPr>
                <w:rFonts w:hint="default" w:ascii="Times New Roman" w:hAnsi="Times New Roman" w:eastAsia="仿宋_GB2312" w:cs="Times New Roman"/>
                <w:kern w:val="0"/>
                <w:sz w:val="32"/>
                <w:szCs w:val="32"/>
                <w:highlight w:val="none"/>
                <w:lang w:val="en-US" w:eastAsia="zh-CN"/>
                <w14:ligatures w14:val="standardContextual"/>
              </w:rPr>
              <w:t xml:space="preserve">  </w:t>
            </w:r>
            <w:r>
              <w:rPr>
                <w:rFonts w:hint="default" w:ascii="Times New Roman" w:hAnsi="Times New Roman" w:eastAsia="仿宋_GB2312" w:cs="Times New Roman"/>
                <w:kern w:val="0"/>
                <w:sz w:val="30"/>
                <w:szCs w:val="30"/>
                <w:highlight w:val="none"/>
                <w:lang w:val="en-US" w:eastAsia="zh-CN"/>
                <w14:ligatures w14:val="standardContextual"/>
              </w:rPr>
              <w:t>经营者主张《反垄断法》第十八条第一款第一项和第二项规定的协议适用第三款的，需要证明其在相关市场的市场份额低于5%，并符合下列条件：</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94" w:lineRule="exact"/>
              <w:ind w:firstLine="640"/>
              <w:textAlignment w:val="auto"/>
              <w:rPr>
                <w:rFonts w:hint="default" w:ascii="Times New Roman" w:hAnsi="Times New Roman" w:eastAsia="仿宋_GB2312" w:cs="Times New Roman"/>
                <w:kern w:val="0"/>
                <w:sz w:val="30"/>
                <w:szCs w:val="30"/>
                <w:highlight w:val="none"/>
                <w:lang w:val="en-US" w:eastAsia="zh-CN"/>
                <w14:ligatures w14:val="standardContextual"/>
              </w:rPr>
            </w:pPr>
            <w:r>
              <w:rPr>
                <w:rFonts w:hint="default" w:ascii="Times New Roman" w:hAnsi="Times New Roman" w:eastAsia="仿宋_GB2312" w:cs="Times New Roman"/>
                <w:kern w:val="0"/>
                <w:sz w:val="30"/>
                <w:szCs w:val="30"/>
                <w:highlight w:val="none"/>
                <w:lang w:val="en-US" w:eastAsia="zh-CN"/>
                <w14:ligatures w14:val="standardContextual"/>
              </w:rPr>
              <w:t>（一）交易相对人在相关市场的市场份额低于5%</w:t>
            </w:r>
            <w:r>
              <w:rPr>
                <w:rFonts w:hint="default" w:ascii="Times New Roman" w:hAnsi="Times New Roman" w:eastAsia="仿宋_GB2312" w:cs="Times New Roman"/>
                <w:kern w:val="0"/>
                <w:sz w:val="30"/>
                <w:szCs w:val="30"/>
                <w:lang w:val="en-US" w:eastAsia="zh-CN"/>
                <w14:ligatures w14:val="standardContextual"/>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94" w:lineRule="exact"/>
              <w:ind w:firstLine="640"/>
              <w:jc w:val="left"/>
              <w:textAlignment w:val="auto"/>
              <w:rPr>
                <w:rFonts w:hint="default" w:ascii="Times New Roman" w:hAnsi="Times New Roman" w:eastAsia="仿宋_GB2312" w:cs="Times New Roman"/>
                <w:i w:val="0"/>
                <w:caps w:val="0"/>
                <w:spacing w:val="0"/>
                <w:kern w:val="0"/>
                <w:sz w:val="30"/>
                <w:szCs w:val="30"/>
                <w:highlight w:val="none"/>
                <w:shd w:val="clear"/>
                <w:lang w:val="en-US" w:eastAsia="zh-CN" w:bidi="ar"/>
                <w14:ligatures w14:val="standardContextual"/>
              </w:rPr>
            </w:pPr>
            <w:r>
              <w:rPr>
                <w:rFonts w:hint="default" w:ascii="Times New Roman" w:hAnsi="Times New Roman" w:eastAsia="仿宋_GB2312" w:cs="Times New Roman"/>
                <w:kern w:val="0"/>
                <w:sz w:val="30"/>
                <w:szCs w:val="30"/>
                <w:highlight w:val="none"/>
                <w:lang w:val="en-US" w:eastAsia="zh-CN"/>
                <w14:ligatures w14:val="standardContextual"/>
              </w:rPr>
              <w:t>（二）经营者和交易相对人</w:t>
            </w:r>
            <w:r>
              <w:rPr>
                <w:rFonts w:hint="default" w:ascii="Times New Roman" w:hAnsi="Times New Roman" w:eastAsia="仿宋_GB2312" w:cs="Times New Roman"/>
                <w:i w:val="0"/>
                <w:caps w:val="0"/>
                <w:spacing w:val="0"/>
                <w:kern w:val="0"/>
                <w:sz w:val="30"/>
                <w:szCs w:val="30"/>
                <w:highlight w:val="none"/>
                <w:shd w:val="clear"/>
                <w:lang w:val="en-US" w:eastAsia="zh-CN" w:bidi="ar"/>
                <w14:ligatures w14:val="standardContextual"/>
              </w:rPr>
              <w:t>在相关市场的年度营业额均不超过1亿元。</w:t>
            </w:r>
          </w:p>
          <w:p>
            <w:pPr>
              <w:keepNext w:val="0"/>
              <w:keepLines w:val="0"/>
              <w:pageBreakBefore w:val="0"/>
              <w:widowControl w:val="0"/>
              <w:kinsoku/>
              <w:wordWrap/>
              <w:overflowPunct/>
              <w:topLinePunct w:val="0"/>
              <w:autoSpaceDE w:val="0"/>
              <w:autoSpaceDN w:val="0"/>
              <w:bidi w:val="0"/>
              <w:adjustRightInd w:val="0"/>
              <w:snapToGrid w:val="0"/>
              <w:spacing w:line="394" w:lineRule="exact"/>
              <w:ind w:firstLine="600" w:firstLineChars="200"/>
              <w:textAlignment w:val="auto"/>
              <w:rPr>
                <w:rFonts w:hint="default" w:ascii="Times New Roman" w:hAnsi="Times New Roman" w:eastAsia="仿宋_GB2312" w:cs="Times New Roman"/>
                <w:kern w:val="0"/>
                <w:sz w:val="30"/>
                <w:szCs w:val="30"/>
                <w:highlight w:val="none"/>
                <w:lang w:val="en-US" w:eastAsia="zh-CN"/>
                <w14:ligatures w14:val="standardContextual"/>
              </w:rPr>
            </w:pPr>
            <w:r>
              <w:rPr>
                <w:rFonts w:hint="default" w:ascii="Times New Roman" w:hAnsi="Times New Roman" w:eastAsia="仿宋_GB2312" w:cs="Times New Roman"/>
                <w:kern w:val="0"/>
                <w:sz w:val="30"/>
                <w:szCs w:val="30"/>
                <w:highlight w:val="none"/>
                <w:lang w:val="en-US" w:eastAsia="zh-CN"/>
                <w14:ligatures w14:val="standardContextual"/>
              </w:rPr>
              <w:t>经营者主张《反垄断法》第十八条第一款第三项规定的协议适用第三款的，前款规定的市场份额适用15%，营业额适用3亿元。</w:t>
            </w:r>
          </w:p>
          <w:p>
            <w:pPr>
              <w:keepNext w:val="0"/>
              <w:keepLines w:val="0"/>
              <w:pageBreakBefore w:val="0"/>
              <w:widowControl w:val="0"/>
              <w:kinsoku/>
              <w:wordWrap/>
              <w:overflowPunct/>
              <w:topLinePunct w:val="0"/>
              <w:autoSpaceDE w:val="0"/>
              <w:autoSpaceDN w:val="0"/>
              <w:bidi w:val="0"/>
              <w:adjustRightInd w:val="0"/>
              <w:snapToGrid w:val="0"/>
              <w:spacing w:line="394" w:lineRule="exact"/>
              <w:ind w:firstLine="600" w:firstLineChars="200"/>
              <w:textAlignment w:val="auto"/>
              <w:rPr>
                <w:rFonts w:hint="default" w:ascii="Times New Roman" w:hAnsi="Times New Roman" w:eastAsia="仿宋_GB2312" w:cs="Times New Roman"/>
                <w:kern w:val="0"/>
                <w:sz w:val="30"/>
                <w:szCs w:val="30"/>
                <w:lang w:val="en-US" w:eastAsia="zh-CN"/>
                <w14:ligatures w14:val="standardContextual"/>
              </w:rPr>
            </w:pPr>
            <w:r>
              <w:rPr>
                <w:rFonts w:hint="default" w:ascii="Times New Roman" w:hAnsi="Times New Roman" w:eastAsia="仿宋_GB2312" w:cs="Times New Roman"/>
                <w:kern w:val="0"/>
                <w:sz w:val="30"/>
                <w:szCs w:val="30"/>
                <w:highlight w:val="none"/>
                <w:lang w:val="en-US" w:eastAsia="zh-CN"/>
                <w14:ligatures w14:val="standardContextual"/>
              </w:rPr>
              <w:t>当</w:t>
            </w:r>
            <w:r>
              <w:rPr>
                <w:rFonts w:hint="default" w:ascii="Times New Roman" w:hAnsi="Times New Roman" w:eastAsia="仿宋_GB2312" w:cs="Times New Roman"/>
                <w:kern w:val="0"/>
                <w:sz w:val="30"/>
                <w:szCs w:val="30"/>
                <w:lang w:val="en-US" w:eastAsia="zh-CN"/>
                <w14:ligatures w14:val="standardContextual"/>
              </w:rPr>
              <w:t>交易相对人为多个的，在同一相关市场的市场份额、营业额合并计算。</w:t>
            </w:r>
          </w:p>
          <w:p>
            <w:pPr>
              <w:keepNext w:val="0"/>
              <w:keepLines w:val="0"/>
              <w:pageBreakBefore w:val="0"/>
              <w:widowControl w:val="0"/>
              <w:kinsoku/>
              <w:wordWrap/>
              <w:overflowPunct/>
              <w:topLinePunct w:val="0"/>
              <w:autoSpaceDE w:val="0"/>
              <w:autoSpaceDN w:val="0"/>
              <w:bidi w:val="0"/>
              <w:adjustRightInd w:val="0"/>
              <w:snapToGrid w:val="0"/>
              <w:spacing w:line="394" w:lineRule="exact"/>
              <w:ind w:firstLine="600" w:firstLineChars="200"/>
              <w:textAlignment w:val="auto"/>
              <w:rPr>
                <w:rFonts w:hint="default" w:ascii="Times New Roman" w:hAnsi="Times New Roman" w:eastAsia="仿宋_GB2312" w:cs="Times New Roman"/>
                <w:kern w:val="0"/>
                <w:sz w:val="30"/>
                <w:szCs w:val="30"/>
                <w:lang w:val="en-US" w:eastAsia="zh-CN"/>
                <w14:ligatures w14:val="standardContextual"/>
              </w:rPr>
            </w:pPr>
            <w:r>
              <w:rPr>
                <w:rFonts w:hint="default" w:ascii="Times New Roman" w:hAnsi="Times New Roman" w:eastAsia="仿宋_GB2312" w:cs="Times New Roman"/>
                <w:kern w:val="0"/>
                <w:sz w:val="30"/>
                <w:szCs w:val="30"/>
                <w:lang w:val="en-US" w:eastAsia="zh-CN"/>
                <w14:ligatures w14:val="standardContextual"/>
              </w:rPr>
              <w:t>有证据证明协议具有排除、限制竞争效果的，不适用本条规定。</w:t>
            </w:r>
          </w:p>
          <w:p>
            <w:pPr>
              <w:keepNext w:val="0"/>
              <w:keepLines w:val="0"/>
              <w:pageBreakBefore w:val="0"/>
              <w:widowControl w:val="0"/>
              <w:kinsoku/>
              <w:wordWrap/>
              <w:overflowPunct/>
              <w:topLinePunct w:val="0"/>
              <w:autoSpaceDE/>
              <w:autoSpaceDN/>
              <w:bidi w:val="0"/>
              <w:adjustRightInd w:val="0"/>
              <w:snapToGrid w:val="0"/>
              <w:spacing w:line="394" w:lineRule="exact"/>
              <w:ind w:firstLine="600" w:firstLineChars="200"/>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sz w:val="30"/>
                <w:szCs w:val="30"/>
                <w:lang w:val="en-US" w:eastAsia="zh-CN"/>
              </w:rPr>
              <w:t>国务院反垄断执法机构</w:t>
            </w:r>
            <w:r>
              <w:rPr>
                <w:rFonts w:hint="default" w:ascii="Times New Roman" w:hAnsi="Times New Roman" w:eastAsia="仿宋_GB2312" w:cs="Times New Roman"/>
                <w:sz w:val="30"/>
                <w:szCs w:val="30"/>
              </w:rPr>
              <w:t>对特定行业、领域</w:t>
            </w:r>
            <w:r>
              <w:rPr>
                <w:rFonts w:hint="default" w:ascii="Times New Roman" w:hAnsi="Times New Roman" w:eastAsia="仿宋_GB2312" w:cs="Times New Roman"/>
                <w:sz w:val="30"/>
                <w:szCs w:val="30"/>
                <w:lang w:val="en-US" w:eastAsia="zh-CN"/>
              </w:rPr>
              <w:t>或者特定协议适用</w:t>
            </w:r>
            <w:r>
              <w:rPr>
                <w:rFonts w:hint="default" w:ascii="Times New Roman" w:hAnsi="Times New Roman" w:eastAsia="仿宋_GB2312" w:cs="Times New Roman"/>
                <w:sz w:val="30"/>
                <w:szCs w:val="30"/>
              </w:rPr>
              <w:t>《反垄断法》第十八条</w:t>
            </w:r>
            <w:r>
              <w:rPr>
                <w:rFonts w:hint="default" w:ascii="Times New Roman" w:hAnsi="Times New Roman" w:eastAsia="仿宋_GB2312" w:cs="Times New Roman"/>
                <w:sz w:val="30"/>
                <w:szCs w:val="30"/>
                <w:lang w:val="en-US" w:eastAsia="zh-CN"/>
              </w:rPr>
              <w:t>第三款</w:t>
            </w:r>
            <w:r>
              <w:rPr>
                <w:rFonts w:hint="default" w:ascii="Times New Roman" w:hAnsi="Times New Roman" w:eastAsia="仿宋_GB2312" w:cs="Times New Roman"/>
                <w:sz w:val="30"/>
                <w:szCs w:val="30"/>
              </w:rPr>
              <w:t>另有规定的</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依照其规定</w:t>
            </w:r>
            <w:r>
              <w:rPr>
                <w:rFonts w:hint="default" w:ascii="Times New Roman" w:hAnsi="Times New Roman" w:eastAsia="仿宋_GB2312" w:cs="Times New Roman"/>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6" w:hRule="atLeast"/>
        </w:trPr>
        <w:tc>
          <w:tcPr>
            <w:tcW w:w="4581"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0"/>
                <w:szCs w:val="30"/>
                <w:vertAlign w:val="baseline"/>
                <w:lang w:val="en-US" w:eastAsia="zh-CN"/>
              </w:rPr>
              <w:t>新增</w:t>
            </w:r>
          </w:p>
        </w:tc>
        <w:tc>
          <w:tcPr>
            <w:tcW w:w="4447" w:type="dxa"/>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94" w:lineRule="exact"/>
              <w:ind w:firstLine="640"/>
              <w:jc w:val="both"/>
              <w:textAlignment w:val="auto"/>
              <w:rPr>
                <w:rFonts w:hint="default" w:ascii="Times New Roman" w:hAnsi="Times New Roman" w:eastAsia="仿宋_GB2312" w:cs="Times New Roman"/>
                <w:kern w:val="0"/>
                <w:sz w:val="30"/>
                <w:szCs w:val="30"/>
                <w:lang w:val="en-US" w:eastAsia="zh-CN"/>
                <w14:ligatures w14:val="standardContextual"/>
              </w:rPr>
            </w:pPr>
            <w:r>
              <w:rPr>
                <w:rFonts w:hint="default" w:ascii="Times New Roman" w:hAnsi="Times New Roman" w:eastAsia="黑体" w:cs="Times New Roman"/>
                <w:b w:val="0"/>
                <w:bCs w:val="0"/>
                <w:kern w:val="0"/>
                <w:sz w:val="30"/>
                <w:szCs w:val="30"/>
                <w:lang w:val="en-US" w:eastAsia="zh-CN"/>
                <w14:ligatures w14:val="standardContextual"/>
              </w:rPr>
              <w:t>第十八条</w:t>
            </w:r>
            <w:r>
              <w:rPr>
                <w:rFonts w:hint="default" w:ascii="Times New Roman" w:hAnsi="Times New Roman" w:eastAsia="仿宋_GB2312" w:cs="Times New Roman"/>
                <w:b w:val="0"/>
                <w:bCs w:val="0"/>
                <w:kern w:val="0"/>
                <w:sz w:val="30"/>
                <w:szCs w:val="30"/>
                <w:lang w:val="en-US" w:eastAsia="zh-CN"/>
                <w14:ligatures w14:val="standardContextual"/>
              </w:rPr>
              <w:t xml:space="preserve"> </w:t>
            </w:r>
            <w:r>
              <w:rPr>
                <w:rFonts w:hint="default" w:ascii="Times New Roman" w:hAnsi="Times New Roman" w:eastAsia="仿宋_GB2312" w:cs="Times New Roman"/>
                <w:kern w:val="0"/>
                <w:sz w:val="30"/>
                <w:szCs w:val="30"/>
                <w14:ligatures w14:val="standardContextual"/>
              </w:rPr>
              <w:t>经营者证明</w:t>
            </w:r>
            <w:r>
              <w:rPr>
                <w:rFonts w:hint="default" w:ascii="Times New Roman" w:hAnsi="Times New Roman" w:eastAsia="仿宋_GB2312" w:cs="Times New Roman"/>
                <w:kern w:val="0"/>
                <w:sz w:val="30"/>
                <w:szCs w:val="30"/>
                <w:lang w:val="en-US" w:eastAsia="zh-CN"/>
                <w14:ligatures w14:val="standardContextual"/>
              </w:rPr>
              <w:t>被调查的协议</w:t>
            </w:r>
            <w:r>
              <w:rPr>
                <w:rFonts w:hint="default" w:ascii="Times New Roman" w:hAnsi="Times New Roman" w:eastAsia="仿宋_GB2312" w:cs="Times New Roman"/>
                <w:kern w:val="0"/>
                <w:sz w:val="30"/>
                <w:szCs w:val="30"/>
                <w14:ligatures w14:val="standardContextual"/>
              </w:rPr>
              <w:t>符合本规定第十</w:t>
            </w:r>
            <w:r>
              <w:rPr>
                <w:rFonts w:hint="default" w:ascii="Times New Roman" w:hAnsi="Times New Roman" w:eastAsia="仿宋_GB2312" w:cs="Times New Roman"/>
                <w:kern w:val="0"/>
                <w:sz w:val="30"/>
                <w:szCs w:val="30"/>
                <w:lang w:eastAsia="zh-CN"/>
                <w14:ligatures w14:val="standardContextual"/>
              </w:rPr>
              <w:t>七</w:t>
            </w:r>
            <w:r>
              <w:rPr>
                <w:rFonts w:hint="default" w:ascii="Times New Roman" w:hAnsi="Times New Roman" w:eastAsia="仿宋_GB2312" w:cs="Times New Roman"/>
                <w:kern w:val="0"/>
                <w:sz w:val="30"/>
                <w:szCs w:val="30"/>
                <w14:ligatures w14:val="standardContextual"/>
              </w:rPr>
              <w:t>条</w:t>
            </w:r>
            <w:r>
              <w:rPr>
                <w:rFonts w:hint="default" w:ascii="Times New Roman" w:hAnsi="Times New Roman" w:eastAsia="仿宋_GB2312" w:cs="Times New Roman"/>
                <w:kern w:val="0"/>
                <w:sz w:val="30"/>
                <w:szCs w:val="30"/>
                <w:lang w:val="en-US" w:eastAsia="zh-CN"/>
                <w14:ligatures w14:val="standardContextual"/>
              </w:rPr>
              <w:t>所列市场份额及</w:t>
            </w:r>
            <w:r>
              <w:rPr>
                <w:rFonts w:hint="default" w:ascii="Times New Roman" w:hAnsi="Times New Roman" w:eastAsia="仿宋_GB2312" w:cs="Times New Roman"/>
                <w:kern w:val="0"/>
                <w:sz w:val="30"/>
                <w:szCs w:val="30"/>
                <w:lang w:eastAsia="zh-CN"/>
                <w14:ligatures w14:val="standardContextual"/>
              </w:rPr>
              <w:t>条件</w:t>
            </w:r>
            <w:r>
              <w:rPr>
                <w:rFonts w:hint="default" w:ascii="Times New Roman" w:hAnsi="Times New Roman" w:eastAsia="仿宋_GB2312" w:cs="Times New Roman"/>
                <w:kern w:val="0"/>
                <w:sz w:val="30"/>
                <w:szCs w:val="30"/>
                <w:lang w:val="en-US" w:eastAsia="zh-CN"/>
                <w14:ligatures w14:val="standardContextual"/>
              </w:rPr>
              <w:t>的</w:t>
            </w:r>
            <w:r>
              <w:rPr>
                <w:rFonts w:hint="default" w:ascii="Times New Roman" w:hAnsi="Times New Roman" w:eastAsia="仿宋_GB2312" w:cs="Times New Roman"/>
                <w:kern w:val="0"/>
                <w:sz w:val="30"/>
                <w:szCs w:val="30"/>
                <w:lang w:eastAsia="zh-CN"/>
                <w14:ligatures w14:val="standardContextual"/>
              </w:rPr>
              <w:t>，</w:t>
            </w:r>
            <w:r>
              <w:rPr>
                <w:rFonts w:hint="default" w:ascii="Times New Roman" w:hAnsi="Times New Roman" w:eastAsia="仿宋_GB2312" w:cs="Times New Roman"/>
                <w:kern w:val="0"/>
                <w:sz w:val="30"/>
                <w:szCs w:val="30"/>
                <w:lang w:val="en-US" w:eastAsia="zh-CN"/>
                <w14:ligatures w14:val="standardContextual"/>
              </w:rPr>
              <w:t>应当</w:t>
            </w:r>
            <w:r>
              <w:rPr>
                <w:rFonts w:hint="default" w:ascii="Times New Roman" w:hAnsi="Times New Roman" w:eastAsia="仿宋_GB2312" w:cs="Times New Roman"/>
                <w:kern w:val="0"/>
                <w:sz w:val="30"/>
                <w:szCs w:val="30"/>
                <w14:ligatures w14:val="standardContextual"/>
              </w:rPr>
              <w:t>向反垄断执法机构提交书面申请</w:t>
            </w:r>
            <w:r>
              <w:rPr>
                <w:rFonts w:hint="default" w:ascii="Times New Roman" w:hAnsi="Times New Roman" w:eastAsia="仿宋_GB2312" w:cs="Times New Roman"/>
                <w:kern w:val="0"/>
                <w:sz w:val="30"/>
                <w:szCs w:val="30"/>
                <w:lang w:eastAsia="zh-CN"/>
                <w14:ligatures w14:val="standardContextual"/>
              </w:rPr>
              <w:t>和</w:t>
            </w:r>
            <w:r>
              <w:rPr>
                <w:rFonts w:hint="default" w:ascii="Times New Roman" w:hAnsi="Times New Roman" w:eastAsia="仿宋_GB2312" w:cs="Times New Roman"/>
                <w:kern w:val="0"/>
                <w:sz w:val="30"/>
                <w:szCs w:val="30"/>
                <w:lang w:val="en-US" w:eastAsia="zh-CN"/>
                <w14:ligatures w14:val="standardContextual"/>
              </w:rPr>
              <w:t>下列材料：</w:t>
            </w:r>
          </w:p>
          <w:p>
            <w:pPr>
              <w:keepNext w:val="0"/>
              <w:keepLines w:val="0"/>
              <w:pageBreakBefore w:val="0"/>
              <w:widowControl w:val="0"/>
              <w:numPr>
                <w:ilvl w:val="0"/>
                <w:numId w:val="1"/>
              </w:numPr>
              <w:kinsoku/>
              <w:wordWrap/>
              <w:overflowPunct/>
              <w:topLinePunct w:val="0"/>
              <w:autoSpaceDE/>
              <w:autoSpaceDN/>
              <w:bidi w:val="0"/>
              <w:adjustRightInd w:val="0"/>
              <w:snapToGrid w:val="0"/>
              <w:spacing w:line="394" w:lineRule="exact"/>
              <w:ind w:firstLine="600" w:firstLineChars="200"/>
              <w:jc w:val="both"/>
              <w:textAlignment w:val="auto"/>
              <w:rPr>
                <w:rFonts w:hint="default" w:ascii="Times New Roman" w:hAnsi="Times New Roman" w:eastAsia="仿宋_GB2312" w:cs="Times New Roman"/>
                <w:kern w:val="0"/>
                <w:sz w:val="30"/>
                <w:szCs w:val="30"/>
                <w:lang w:val="en-US" w:eastAsia="zh-CN"/>
                <w14:ligatures w14:val="standardContextual"/>
              </w:rPr>
            </w:pPr>
            <w:r>
              <w:rPr>
                <w:rFonts w:hint="default" w:ascii="Times New Roman" w:hAnsi="Times New Roman" w:eastAsia="仿宋_GB2312" w:cs="Times New Roman"/>
                <w:kern w:val="0"/>
                <w:sz w:val="30"/>
                <w:szCs w:val="30"/>
                <w:lang w:val="en-US" w:eastAsia="zh-CN"/>
                <w14:ligatures w14:val="standardContextual"/>
              </w:rPr>
              <w:t>经营者与交易相对人达成、实施协议有关情况；</w:t>
            </w:r>
          </w:p>
          <w:p>
            <w:pPr>
              <w:keepNext w:val="0"/>
              <w:keepLines w:val="0"/>
              <w:pageBreakBefore w:val="0"/>
              <w:widowControl w:val="0"/>
              <w:kinsoku/>
              <w:wordWrap/>
              <w:overflowPunct/>
              <w:topLinePunct w:val="0"/>
              <w:autoSpaceDE/>
              <w:autoSpaceDN/>
              <w:bidi w:val="0"/>
              <w:adjustRightInd w:val="0"/>
              <w:snapToGrid w:val="0"/>
              <w:spacing w:line="394" w:lineRule="exact"/>
              <w:ind w:firstLine="600" w:firstLineChars="200"/>
              <w:jc w:val="both"/>
              <w:textAlignment w:val="auto"/>
              <w:rPr>
                <w:rFonts w:hint="default" w:ascii="Times New Roman" w:hAnsi="Times New Roman" w:eastAsia="仿宋_GB2312" w:cs="Times New Roman"/>
                <w:kern w:val="0"/>
                <w:sz w:val="30"/>
                <w:szCs w:val="30"/>
                <w:lang w:eastAsia="zh-CN"/>
                <w14:ligatures w14:val="standardContextual"/>
              </w:rPr>
            </w:pPr>
            <w:r>
              <w:rPr>
                <w:rFonts w:hint="default" w:ascii="Times New Roman" w:hAnsi="Times New Roman" w:eastAsia="仿宋_GB2312" w:cs="Times New Roman"/>
                <w:kern w:val="0"/>
                <w:sz w:val="30"/>
                <w:szCs w:val="30"/>
                <w:lang w:eastAsia="zh-CN"/>
                <w14:ligatures w14:val="standardContextual"/>
              </w:rPr>
              <w:t>（</w:t>
            </w:r>
            <w:r>
              <w:rPr>
                <w:rFonts w:hint="default" w:ascii="Times New Roman" w:hAnsi="Times New Roman" w:eastAsia="仿宋_GB2312" w:cs="Times New Roman"/>
                <w:kern w:val="0"/>
                <w:sz w:val="30"/>
                <w:szCs w:val="30"/>
                <w:lang w:val="en-US" w:eastAsia="zh-CN"/>
                <w14:ligatures w14:val="standardContextual"/>
              </w:rPr>
              <w:t>二</w:t>
            </w:r>
            <w:r>
              <w:rPr>
                <w:rFonts w:hint="default" w:ascii="Times New Roman" w:hAnsi="Times New Roman" w:eastAsia="仿宋_GB2312" w:cs="Times New Roman"/>
                <w:kern w:val="0"/>
                <w:sz w:val="30"/>
                <w:szCs w:val="30"/>
                <w:lang w:eastAsia="zh-CN"/>
                <w14:ligatures w14:val="standardContextual"/>
              </w:rPr>
              <w:t>）</w:t>
            </w:r>
            <w:r>
              <w:rPr>
                <w:rFonts w:hint="default" w:ascii="Times New Roman" w:hAnsi="Times New Roman" w:eastAsia="仿宋_GB2312" w:cs="Times New Roman"/>
                <w:kern w:val="0"/>
                <w:sz w:val="30"/>
                <w:szCs w:val="30"/>
                <w14:ligatures w14:val="standardContextual"/>
              </w:rPr>
              <w:t>经营者与交易相对人</w:t>
            </w:r>
            <w:r>
              <w:rPr>
                <w:rFonts w:hint="default" w:ascii="Times New Roman" w:hAnsi="Times New Roman" w:eastAsia="仿宋_GB2312" w:cs="Times New Roman"/>
                <w:kern w:val="0"/>
                <w:sz w:val="30"/>
                <w:szCs w:val="30"/>
                <w:lang w:eastAsia="zh-CN"/>
                <w14:ligatures w14:val="standardContextual"/>
              </w:rPr>
              <w:t>的</w:t>
            </w:r>
            <w:r>
              <w:rPr>
                <w:rFonts w:hint="default" w:ascii="Times New Roman" w:hAnsi="Times New Roman" w:eastAsia="仿宋_GB2312" w:cs="Times New Roman"/>
                <w:kern w:val="0"/>
                <w:sz w:val="30"/>
                <w:szCs w:val="30"/>
                <w14:ligatures w14:val="standardContextual"/>
              </w:rPr>
              <w:t>股权结构及控制权关系</w:t>
            </w:r>
            <w:r>
              <w:rPr>
                <w:rFonts w:hint="default" w:ascii="Times New Roman" w:hAnsi="Times New Roman" w:eastAsia="仿宋_GB2312" w:cs="Times New Roman"/>
                <w:kern w:val="0"/>
                <w:sz w:val="30"/>
                <w:szCs w:val="30"/>
                <w:lang w:eastAsia="zh-CN"/>
                <w14:ligatures w14:val="standardContextual"/>
              </w:rPr>
              <w:t>、</w:t>
            </w:r>
            <w:r>
              <w:rPr>
                <w:rFonts w:hint="default" w:ascii="Times New Roman" w:hAnsi="Times New Roman" w:eastAsia="仿宋_GB2312" w:cs="Times New Roman"/>
                <w:kern w:val="0"/>
                <w:sz w:val="30"/>
                <w:szCs w:val="30"/>
                <w14:ligatures w14:val="standardContextual"/>
              </w:rPr>
              <w:t>在相关市场的经营状况</w:t>
            </w:r>
            <w:r>
              <w:rPr>
                <w:rFonts w:hint="default" w:ascii="Times New Roman" w:hAnsi="Times New Roman" w:eastAsia="仿宋_GB2312" w:cs="Times New Roman"/>
                <w:kern w:val="0"/>
                <w:sz w:val="30"/>
                <w:szCs w:val="30"/>
                <w:lang w:eastAsia="zh-CN"/>
                <w14:ligatures w14:val="standardContextual"/>
              </w:rPr>
              <w:t>；</w:t>
            </w:r>
          </w:p>
          <w:p>
            <w:pPr>
              <w:keepNext w:val="0"/>
              <w:keepLines w:val="0"/>
              <w:pageBreakBefore w:val="0"/>
              <w:widowControl w:val="0"/>
              <w:kinsoku/>
              <w:wordWrap/>
              <w:overflowPunct/>
              <w:topLinePunct w:val="0"/>
              <w:autoSpaceDE/>
              <w:autoSpaceDN/>
              <w:bidi w:val="0"/>
              <w:adjustRightInd w:val="0"/>
              <w:snapToGrid w:val="0"/>
              <w:spacing w:line="394" w:lineRule="exact"/>
              <w:ind w:firstLine="600" w:firstLineChars="200"/>
              <w:jc w:val="both"/>
              <w:textAlignment w:val="auto"/>
              <w:rPr>
                <w:rFonts w:hint="default" w:ascii="Times New Roman" w:hAnsi="Times New Roman" w:eastAsia="仿宋_GB2312" w:cs="Times New Roman"/>
                <w:kern w:val="0"/>
                <w:sz w:val="30"/>
                <w:szCs w:val="30"/>
                <w14:ligatures w14:val="standardContextual"/>
              </w:rPr>
            </w:pPr>
            <w:r>
              <w:rPr>
                <w:rFonts w:hint="default" w:ascii="Times New Roman" w:hAnsi="Times New Roman" w:eastAsia="仿宋_GB2312" w:cs="Times New Roman"/>
                <w:kern w:val="0"/>
                <w:sz w:val="30"/>
                <w:szCs w:val="30"/>
                <w14:ligatures w14:val="standardContextual"/>
              </w:rPr>
              <w:t>（</w:t>
            </w:r>
            <w:r>
              <w:rPr>
                <w:rFonts w:hint="default" w:ascii="Times New Roman" w:hAnsi="Times New Roman" w:eastAsia="仿宋_GB2312" w:cs="Times New Roman"/>
                <w:kern w:val="0"/>
                <w:sz w:val="30"/>
                <w:szCs w:val="30"/>
                <w:lang w:val="en-US" w:eastAsia="zh-CN"/>
                <w14:ligatures w14:val="standardContextual"/>
              </w:rPr>
              <w:t>三</w:t>
            </w:r>
            <w:r>
              <w:rPr>
                <w:rFonts w:hint="default" w:ascii="Times New Roman" w:hAnsi="Times New Roman" w:eastAsia="仿宋_GB2312" w:cs="Times New Roman"/>
                <w:kern w:val="0"/>
                <w:sz w:val="30"/>
                <w:szCs w:val="30"/>
                <w14:ligatures w14:val="standardContextual"/>
              </w:rPr>
              <w:t>）经营者与交易相对人在</w:t>
            </w:r>
            <w:r>
              <w:rPr>
                <w:rFonts w:hint="default" w:ascii="Times New Roman" w:hAnsi="Times New Roman" w:eastAsia="仿宋_GB2312" w:cs="Times New Roman"/>
                <w:kern w:val="0"/>
                <w:sz w:val="30"/>
                <w:szCs w:val="30"/>
                <w:lang w:val="en-US" w:eastAsia="zh-CN"/>
                <w14:ligatures w14:val="standardContextual"/>
              </w:rPr>
              <w:t>协议期间的年度</w:t>
            </w:r>
            <w:r>
              <w:rPr>
                <w:rFonts w:hint="default" w:ascii="Times New Roman" w:hAnsi="Times New Roman" w:eastAsia="仿宋_GB2312" w:cs="Times New Roman"/>
                <w:kern w:val="0"/>
                <w:sz w:val="30"/>
                <w:szCs w:val="30"/>
                <w14:ligatures w14:val="standardContextual"/>
              </w:rPr>
              <w:t>市场份额</w:t>
            </w:r>
            <w:r>
              <w:rPr>
                <w:rFonts w:hint="default" w:ascii="Times New Roman" w:hAnsi="Times New Roman" w:eastAsia="仿宋_GB2312" w:cs="Times New Roman"/>
                <w:kern w:val="0"/>
                <w:sz w:val="30"/>
                <w:szCs w:val="30"/>
                <w:highlight w:val="none"/>
                <w:lang w:val="en-US" w:eastAsia="zh-CN"/>
                <w14:ligatures w14:val="standardContextual"/>
              </w:rPr>
              <w:t>、年度营业额，</w:t>
            </w:r>
            <w:r>
              <w:rPr>
                <w:rFonts w:hint="default" w:ascii="Times New Roman" w:hAnsi="Times New Roman" w:eastAsia="仿宋_GB2312" w:cs="Times New Roman"/>
                <w:kern w:val="0"/>
                <w:sz w:val="30"/>
                <w:szCs w:val="30"/>
                <w:lang w:val="en-US" w:eastAsia="zh-CN"/>
                <w14:ligatures w14:val="standardContextual"/>
              </w:rPr>
              <w:t>并提供</w:t>
            </w:r>
            <w:r>
              <w:rPr>
                <w:rFonts w:hint="default" w:ascii="Times New Roman" w:hAnsi="Times New Roman" w:eastAsia="仿宋_GB2312" w:cs="Times New Roman"/>
                <w:kern w:val="0"/>
                <w:sz w:val="30"/>
                <w:szCs w:val="30"/>
                <w14:ligatures w14:val="standardContextual"/>
              </w:rPr>
              <w:t>计算依据；</w:t>
            </w:r>
          </w:p>
          <w:p>
            <w:pPr>
              <w:keepNext w:val="0"/>
              <w:keepLines w:val="0"/>
              <w:pageBreakBefore w:val="0"/>
              <w:widowControl w:val="0"/>
              <w:kinsoku/>
              <w:wordWrap/>
              <w:overflowPunct/>
              <w:topLinePunct w:val="0"/>
              <w:autoSpaceDE/>
              <w:autoSpaceDN/>
              <w:bidi w:val="0"/>
              <w:adjustRightInd w:val="0"/>
              <w:snapToGrid w:val="0"/>
              <w:spacing w:line="394" w:lineRule="exact"/>
              <w:ind w:firstLine="600" w:firstLineChars="200"/>
              <w:jc w:val="both"/>
              <w:textAlignment w:val="auto"/>
              <w:rPr>
                <w:rFonts w:hint="default" w:ascii="Times New Roman" w:hAnsi="Times New Roman" w:eastAsia="仿宋_GB2312" w:cs="Times New Roman"/>
                <w:kern w:val="0"/>
                <w:sz w:val="30"/>
                <w:szCs w:val="30"/>
                <w:lang w:val="en-US" w:eastAsia="zh-CN"/>
                <w14:ligatures w14:val="standardContextual"/>
              </w:rPr>
            </w:pPr>
            <w:r>
              <w:rPr>
                <w:rFonts w:hint="default" w:ascii="Times New Roman" w:hAnsi="Times New Roman" w:eastAsia="仿宋_GB2312" w:cs="Times New Roman"/>
                <w:kern w:val="0"/>
                <w:sz w:val="30"/>
                <w:szCs w:val="30"/>
                <w:lang w:eastAsia="zh-CN"/>
                <w14:ligatures w14:val="standardContextual"/>
              </w:rPr>
              <w:t>（</w:t>
            </w:r>
            <w:r>
              <w:rPr>
                <w:rFonts w:hint="default" w:ascii="Times New Roman" w:hAnsi="Times New Roman" w:eastAsia="仿宋_GB2312" w:cs="Times New Roman"/>
                <w:kern w:val="0"/>
                <w:sz w:val="30"/>
                <w:szCs w:val="30"/>
                <w:lang w:val="en-US" w:eastAsia="zh-CN"/>
                <w14:ligatures w14:val="standardContextual"/>
              </w:rPr>
              <w:t>四</w:t>
            </w:r>
            <w:r>
              <w:rPr>
                <w:rFonts w:hint="default" w:ascii="Times New Roman" w:hAnsi="Times New Roman" w:eastAsia="仿宋_GB2312" w:cs="Times New Roman"/>
                <w:kern w:val="0"/>
                <w:sz w:val="30"/>
                <w:szCs w:val="30"/>
                <w:lang w:eastAsia="zh-CN"/>
                <w14:ligatures w14:val="standardContextual"/>
              </w:rPr>
              <w:t>）</w:t>
            </w:r>
            <w:r>
              <w:rPr>
                <w:rFonts w:hint="default" w:ascii="Times New Roman" w:hAnsi="Times New Roman" w:eastAsia="仿宋_GB2312" w:cs="Times New Roman"/>
                <w:kern w:val="0"/>
                <w:sz w:val="30"/>
                <w:szCs w:val="30"/>
                <w:lang w:val="en-US" w:eastAsia="zh-CN"/>
                <w14:ligatures w14:val="standardContextual"/>
              </w:rPr>
              <w:t>其他能够证明经营者符合</w:t>
            </w:r>
            <w:r>
              <w:rPr>
                <w:rFonts w:hint="default" w:ascii="Times New Roman" w:hAnsi="Times New Roman" w:eastAsia="仿宋_GB2312" w:cs="Times New Roman"/>
                <w:kern w:val="0"/>
                <w:sz w:val="30"/>
                <w:szCs w:val="30"/>
                <w14:ligatures w14:val="standardContextual"/>
              </w:rPr>
              <w:t>本规定第十</w:t>
            </w:r>
            <w:r>
              <w:rPr>
                <w:rFonts w:hint="default" w:ascii="Times New Roman" w:hAnsi="Times New Roman" w:eastAsia="仿宋_GB2312" w:cs="Times New Roman"/>
                <w:kern w:val="0"/>
                <w:sz w:val="30"/>
                <w:szCs w:val="30"/>
                <w:lang w:eastAsia="zh-CN"/>
                <w14:ligatures w14:val="standardContextual"/>
              </w:rPr>
              <w:t>七</w:t>
            </w:r>
            <w:r>
              <w:rPr>
                <w:rFonts w:hint="default" w:ascii="Times New Roman" w:hAnsi="Times New Roman" w:eastAsia="仿宋_GB2312" w:cs="Times New Roman"/>
                <w:kern w:val="0"/>
                <w:sz w:val="30"/>
                <w:szCs w:val="30"/>
                <w14:ligatures w14:val="standardContextual"/>
              </w:rPr>
              <w:t>条</w:t>
            </w:r>
            <w:r>
              <w:rPr>
                <w:rFonts w:hint="default" w:ascii="Times New Roman" w:hAnsi="Times New Roman" w:eastAsia="仿宋_GB2312" w:cs="Times New Roman"/>
                <w:kern w:val="0"/>
                <w:sz w:val="30"/>
                <w:szCs w:val="30"/>
                <w:lang w:val="en-US" w:eastAsia="zh-CN"/>
                <w14:ligatures w14:val="standardContextual"/>
              </w:rPr>
              <w:t>所列市场份额及</w:t>
            </w:r>
            <w:r>
              <w:rPr>
                <w:rFonts w:hint="default" w:ascii="Times New Roman" w:hAnsi="Times New Roman" w:eastAsia="仿宋_GB2312" w:cs="Times New Roman"/>
                <w:kern w:val="0"/>
                <w:sz w:val="30"/>
                <w:szCs w:val="30"/>
                <w:lang w:eastAsia="zh-CN"/>
                <w14:ligatures w14:val="standardContextual"/>
              </w:rPr>
              <w:t>条件</w:t>
            </w:r>
            <w:r>
              <w:rPr>
                <w:rFonts w:hint="default" w:ascii="Times New Roman" w:hAnsi="Times New Roman" w:eastAsia="仿宋_GB2312" w:cs="Times New Roman"/>
                <w:kern w:val="0"/>
                <w:sz w:val="30"/>
                <w:szCs w:val="30"/>
                <w:lang w:val="en-US" w:eastAsia="zh-CN"/>
                <w14:ligatures w14:val="standardContextual"/>
              </w:rPr>
              <w:t>的材料</w:t>
            </w:r>
            <w:r>
              <w:rPr>
                <w:rFonts w:hint="default" w:ascii="Times New Roman" w:hAnsi="Times New Roman" w:eastAsia="仿宋_GB2312" w:cs="Times New Roman"/>
                <w:kern w:val="0"/>
                <w:sz w:val="30"/>
                <w:szCs w:val="30"/>
                <w:lang w:eastAsia="zh-CN"/>
                <w14:ligatures w14:val="standardContextual"/>
              </w:rPr>
              <w:t>。</w:t>
            </w:r>
            <w:r>
              <w:rPr>
                <w:rFonts w:hint="default" w:ascii="Times New Roman" w:hAnsi="Times New Roman" w:eastAsia="仿宋_GB2312" w:cs="Times New Roman"/>
                <w:kern w:val="0"/>
                <w:sz w:val="30"/>
                <w:szCs w:val="30"/>
                <w:lang w:val="en-US" w:eastAsia="zh-CN"/>
                <w14:ligatures w14:val="standardContextual"/>
              </w:rPr>
              <w:t xml:space="preserve"> </w:t>
            </w:r>
          </w:p>
          <w:p>
            <w:pPr>
              <w:keepNext w:val="0"/>
              <w:keepLines w:val="0"/>
              <w:pageBreakBefore w:val="0"/>
              <w:widowControl w:val="0"/>
              <w:kinsoku/>
              <w:wordWrap/>
              <w:overflowPunct/>
              <w:topLinePunct w:val="0"/>
              <w:autoSpaceDE/>
              <w:autoSpaceDN/>
              <w:bidi w:val="0"/>
              <w:adjustRightInd w:val="0"/>
              <w:snapToGrid w:val="0"/>
              <w:spacing w:line="394" w:lineRule="exact"/>
              <w:ind w:firstLine="600" w:firstLineChars="200"/>
              <w:jc w:val="both"/>
              <w:textAlignment w:val="auto"/>
              <w:rPr>
                <w:rFonts w:hint="default" w:ascii="Times New Roman" w:hAnsi="Times New Roman" w:eastAsia="仿宋_GB2312" w:cs="Times New Roman"/>
                <w:kern w:val="0"/>
                <w:sz w:val="30"/>
                <w:szCs w:val="30"/>
                <w14:ligatures w14:val="standardContextual"/>
              </w:rPr>
            </w:pPr>
            <w:r>
              <w:rPr>
                <w:rFonts w:hint="default" w:ascii="Times New Roman" w:hAnsi="Times New Roman" w:eastAsia="仿宋_GB2312" w:cs="Times New Roman"/>
                <w:kern w:val="0"/>
                <w:sz w:val="30"/>
                <w:szCs w:val="30"/>
                <w14:ligatures w14:val="standardContextual"/>
              </w:rPr>
              <w:t>反垄断执法机构</w:t>
            </w:r>
            <w:r>
              <w:rPr>
                <w:rFonts w:hint="default" w:ascii="Times New Roman" w:hAnsi="Times New Roman" w:eastAsia="仿宋_GB2312" w:cs="Times New Roman"/>
                <w:kern w:val="0"/>
                <w:sz w:val="30"/>
                <w:szCs w:val="30"/>
                <w:lang w:eastAsia="zh-CN"/>
                <w14:ligatures w14:val="standardContextual"/>
              </w:rPr>
              <w:t>对经营者提交的材料进行</w:t>
            </w:r>
            <w:r>
              <w:rPr>
                <w:rFonts w:hint="default" w:ascii="Times New Roman" w:hAnsi="Times New Roman" w:eastAsia="仿宋_GB2312" w:cs="Times New Roman"/>
                <w:kern w:val="0"/>
                <w:sz w:val="30"/>
                <w:szCs w:val="30"/>
                <w14:ligatures w14:val="standardContextual"/>
              </w:rPr>
              <w:t>核实</w:t>
            </w:r>
            <w:r>
              <w:rPr>
                <w:rFonts w:hint="default" w:ascii="Times New Roman" w:hAnsi="Times New Roman" w:eastAsia="仿宋_GB2312" w:cs="Times New Roman"/>
                <w:kern w:val="0"/>
                <w:sz w:val="30"/>
                <w:szCs w:val="30"/>
                <w:lang w:eastAsia="zh-CN"/>
                <w14:ligatures w14:val="standardContextual"/>
              </w:rPr>
              <w:t>后</w:t>
            </w:r>
            <w:r>
              <w:rPr>
                <w:rFonts w:hint="default" w:ascii="Times New Roman" w:hAnsi="Times New Roman" w:eastAsia="仿宋_GB2312" w:cs="Times New Roman"/>
                <w:kern w:val="0"/>
                <w:sz w:val="30"/>
                <w:szCs w:val="30"/>
                <w14:ligatures w14:val="standardContextual"/>
              </w:rPr>
              <w:t>，认为</w:t>
            </w:r>
            <w:r>
              <w:rPr>
                <w:rFonts w:hint="default" w:ascii="Times New Roman" w:hAnsi="Times New Roman" w:eastAsia="仿宋_GB2312" w:cs="Times New Roman"/>
                <w:kern w:val="0"/>
                <w:sz w:val="30"/>
                <w:szCs w:val="30"/>
                <w:lang w:eastAsia="zh-CN"/>
                <w14:ligatures w14:val="standardContextual"/>
              </w:rPr>
              <w:t>协议</w:t>
            </w:r>
            <w:r>
              <w:rPr>
                <w:rFonts w:hint="default" w:ascii="Times New Roman" w:hAnsi="Times New Roman" w:eastAsia="仿宋_GB2312" w:cs="Times New Roman"/>
                <w:kern w:val="0"/>
                <w:sz w:val="30"/>
                <w:szCs w:val="30"/>
                <w14:ligatures w14:val="standardContextual"/>
              </w:rPr>
              <w:t>符合本规定第十</w:t>
            </w:r>
            <w:r>
              <w:rPr>
                <w:rFonts w:hint="default" w:ascii="Times New Roman" w:hAnsi="Times New Roman" w:eastAsia="仿宋_GB2312" w:cs="Times New Roman"/>
                <w:kern w:val="0"/>
                <w:sz w:val="30"/>
                <w:szCs w:val="30"/>
                <w:lang w:eastAsia="zh-CN"/>
                <w14:ligatures w14:val="standardContextual"/>
              </w:rPr>
              <w:t>七</w:t>
            </w:r>
            <w:r>
              <w:rPr>
                <w:rFonts w:hint="default" w:ascii="Times New Roman" w:hAnsi="Times New Roman" w:eastAsia="仿宋_GB2312" w:cs="Times New Roman"/>
                <w:kern w:val="0"/>
                <w:sz w:val="30"/>
                <w:szCs w:val="30"/>
                <w14:ligatures w14:val="standardContextual"/>
              </w:rPr>
              <w:t>条</w:t>
            </w:r>
            <w:r>
              <w:rPr>
                <w:rFonts w:hint="default" w:ascii="Times New Roman" w:hAnsi="Times New Roman" w:eastAsia="仿宋_GB2312" w:cs="Times New Roman"/>
                <w:kern w:val="0"/>
                <w:sz w:val="30"/>
                <w:szCs w:val="30"/>
                <w:lang w:eastAsia="zh-CN"/>
                <w14:ligatures w14:val="standardContextual"/>
              </w:rPr>
              <w:t>规定</w:t>
            </w:r>
            <w:r>
              <w:rPr>
                <w:rFonts w:hint="default" w:ascii="Times New Roman" w:hAnsi="Times New Roman" w:eastAsia="仿宋_GB2312" w:cs="Times New Roman"/>
                <w:kern w:val="0"/>
                <w:sz w:val="30"/>
                <w:szCs w:val="30"/>
                <w14:ligatures w14:val="standardContextual"/>
              </w:rPr>
              <w:t>，未立案的，不予立案调查；已立案的，终止调查。</w:t>
            </w:r>
          </w:p>
          <w:p>
            <w:pPr>
              <w:keepNext w:val="0"/>
              <w:keepLines w:val="0"/>
              <w:pageBreakBefore w:val="0"/>
              <w:widowControl w:val="0"/>
              <w:kinsoku/>
              <w:wordWrap/>
              <w:overflowPunct/>
              <w:topLinePunct w:val="0"/>
              <w:bidi w:val="0"/>
              <w:adjustRightInd w:val="0"/>
              <w:snapToGrid w:val="0"/>
              <w:spacing w:line="394" w:lineRule="exact"/>
              <w:ind w:firstLine="600" w:firstLineChars="200"/>
              <w:jc w:val="both"/>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kern w:val="0"/>
                <w:sz w:val="30"/>
                <w:szCs w:val="30"/>
                <w14:ligatures w14:val="standardContextual"/>
              </w:rPr>
              <w:t>反垄断</w:t>
            </w:r>
            <w:r>
              <w:rPr>
                <w:rFonts w:hint="default" w:ascii="Times New Roman" w:hAnsi="Times New Roman" w:eastAsia="仿宋_GB2312" w:cs="Times New Roman"/>
                <w:kern w:val="0"/>
                <w:sz w:val="30"/>
                <w:szCs w:val="30"/>
                <w:lang w:eastAsia="zh-CN"/>
                <w14:ligatures w14:val="standardContextual"/>
              </w:rPr>
              <w:t>执法</w:t>
            </w:r>
            <w:r>
              <w:rPr>
                <w:rFonts w:hint="default" w:ascii="Times New Roman" w:hAnsi="Times New Roman" w:eastAsia="仿宋_GB2312" w:cs="Times New Roman"/>
                <w:kern w:val="0"/>
                <w:sz w:val="30"/>
                <w:szCs w:val="30"/>
                <w14:ligatures w14:val="standardContextual"/>
              </w:rPr>
              <w:t>机构作出</w:t>
            </w:r>
            <w:r>
              <w:rPr>
                <w:rFonts w:hint="default" w:ascii="Times New Roman" w:hAnsi="Times New Roman" w:eastAsia="仿宋_GB2312" w:cs="Times New Roman"/>
                <w:kern w:val="0"/>
                <w:sz w:val="30"/>
                <w:szCs w:val="30"/>
                <w:lang w:eastAsia="zh-CN"/>
                <w14:ligatures w14:val="standardContextual"/>
              </w:rPr>
              <w:t>前款</w:t>
            </w:r>
            <w:r>
              <w:rPr>
                <w:rFonts w:hint="default" w:ascii="Times New Roman" w:hAnsi="Times New Roman" w:eastAsia="仿宋_GB2312" w:cs="Times New Roman"/>
                <w:kern w:val="0"/>
                <w:sz w:val="30"/>
                <w:szCs w:val="30"/>
                <w14:ligatures w14:val="standardContextual"/>
              </w:rPr>
              <w:t>不予立案或者终止调查决定</w:t>
            </w:r>
            <w:r>
              <w:rPr>
                <w:rFonts w:hint="default" w:ascii="Times New Roman" w:hAnsi="Times New Roman" w:eastAsia="仿宋_GB2312" w:cs="Times New Roman"/>
                <w:kern w:val="0"/>
                <w:sz w:val="30"/>
                <w:szCs w:val="30"/>
                <w:lang w:eastAsia="zh-CN"/>
                <w14:ligatures w14:val="standardContextual"/>
              </w:rPr>
              <w:t>，是</w:t>
            </w:r>
            <w:r>
              <w:rPr>
                <w:rFonts w:hint="default" w:ascii="Times New Roman" w:hAnsi="Times New Roman" w:eastAsia="仿宋_GB2312" w:cs="Times New Roman"/>
                <w:kern w:val="0"/>
                <w:sz w:val="30"/>
                <w:szCs w:val="30"/>
                <w14:ligatures w14:val="standardContextual"/>
              </w:rPr>
              <w:t>基于经营者提供的不完整</w:t>
            </w:r>
            <w:r>
              <w:rPr>
                <w:rFonts w:hint="default" w:ascii="Times New Roman" w:hAnsi="Times New Roman" w:eastAsia="仿宋_GB2312" w:cs="Times New Roman"/>
                <w:kern w:val="0"/>
                <w:sz w:val="30"/>
                <w:szCs w:val="30"/>
                <w:lang w:eastAsia="zh-CN"/>
                <w14:ligatures w14:val="standardContextual"/>
              </w:rPr>
              <w:t>、</w:t>
            </w:r>
            <w:r>
              <w:rPr>
                <w:rFonts w:hint="default" w:ascii="Times New Roman" w:hAnsi="Times New Roman" w:eastAsia="仿宋_GB2312" w:cs="Times New Roman"/>
                <w:kern w:val="0"/>
                <w:sz w:val="30"/>
                <w:szCs w:val="30"/>
                <w14:ligatures w14:val="standardContextual"/>
              </w:rPr>
              <w:t>不真实信息</w:t>
            </w:r>
            <w:r>
              <w:rPr>
                <w:rFonts w:hint="default" w:ascii="Times New Roman" w:hAnsi="Times New Roman" w:eastAsia="仿宋_GB2312" w:cs="Times New Roman"/>
                <w:kern w:val="0"/>
                <w:sz w:val="30"/>
                <w:szCs w:val="30"/>
                <w:lang w:eastAsia="zh-CN"/>
                <w14:ligatures w14:val="standardContextual"/>
              </w:rPr>
              <w:t>的，或者</w:t>
            </w:r>
            <w:r>
              <w:rPr>
                <w:rFonts w:hint="default" w:ascii="Times New Roman" w:hAnsi="Times New Roman" w:eastAsia="仿宋_GB2312" w:cs="Times New Roman"/>
                <w:kern w:val="0"/>
                <w:sz w:val="30"/>
                <w:szCs w:val="30"/>
                <w14:ligatures w14:val="standardContextual"/>
              </w:rPr>
              <w:t>所依据的事实发生重大变化</w:t>
            </w:r>
            <w:r>
              <w:rPr>
                <w:rFonts w:hint="default" w:ascii="Times New Roman" w:hAnsi="Times New Roman" w:eastAsia="仿宋_GB2312" w:cs="Times New Roman"/>
                <w:kern w:val="0"/>
                <w:sz w:val="30"/>
                <w:szCs w:val="30"/>
                <w:lang w:eastAsia="zh-CN"/>
                <w14:ligatures w14:val="standardContextual"/>
              </w:rPr>
              <w:t>的</w:t>
            </w:r>
            <w:r>
              <w:rPr>
                <w:rFonts w:hint="default" w:ascii="Times New Roman" w:hAnsi="Times New Roman" w:eastAsia="仿宋_GB2312" w:cs="Times New Roman"/>
                <w:kern w:val="0"/>
                <w:sz w:val="30"/>
                <w:szCs w:val="30"/>
                <w14:ligatures w14:val="standardContextual"/>
              </w:rPr>
              <w:t>，应当依法开展调查</w:t>
            </w:r>
            <w:r>
              <w:rPr>
                <w:rFonts w:hint="default" w:ascii="Times New Roman" w:hAnsi="Times New Roman" w:eastAsia="仿宋_GB2312" w:cs="Times New Roman"/>
                <w:kern w:val="0"/>
                <w:sz w:val="30"/>
                <w:szCs w:val="30"/>
                <w:lang w:eastAsia="zh-CN"/>
                <w14:ligatures w14:val="standardContextual"/>
              </w:rPr>
              <w:t>。</w:t>
            </w:r>
          </w:p>
        </w:tc>
      </w:tr>
    </w:tbl>
    <w:p>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ascii="Times New Roman" w:hAnsi="Times New Roman"/>
        </w:rPr>
      </w:pPr>
    </w:p>
    <w:sectPr>
      <w:footerReference r:id="rId3" w:type="default"/>
      <w:pgSz w:w="11906" w:h="16838"/>
      <w:pgMar w:top="1984" w:right="1474" w:bottom="16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55688"/>
    <w:multiLevelType w:val="singleLevel"/>
    <w:tmpl w:val="5A1556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NTc3NGYxNmJhZmNjYWIxNzc1NDM3ZGUwYTE3MDgifQ=="/>
  </w:docVars>
  <w:rsids>
    <w:rsidRoot w:val="DFFF1ECB"/>
    <w:rsid w:val="00060C6A"/>
    <w:rsid w:val="00147BF7"/>
    <w:rsid w:val="00215C08"/>
    <w:rsid w:val="00C36B5B"/>
    <w:rsid w:val="00D349BF"/>
    <w:rsid w:val="00F94DD8"/>
    <w:rsid w:val="03C50E3C"/>
    <w:rsid w:val="048760F2"/>
    <w:rsid w:val="04C86263"/>
    <w:rsid w:val="05322502"/>
    <w:rsid w:val="060E6ACB"/>
    <w:rsid w:val="062C7098"/>
    <w:rsid w:val="080261BB"/>
    <w:rsid w:val="080B2B96"/>
    <w:rsid w:val="09A908B8"/>
    <w:rsid w:val="09A92667"/>
    <w:rsid w:val="0AB87005"/>
    <w:rsid w:val="0ADA51CD"/>
    <w:rsid w:val="0B41524D"/>
    <w:rsid w:val="0B9F1F73"/>
    <w:rsid w:val="0BA63302"/>
    <w:rsid w:val="0C85560D"/>
    <w:rsid w:val="0D2070E4"/>
    <w:rsid w:val="0E6A4ABA"/>
    <w:rsid w:val="0E7213D2"/>
    <w:rsid w:val="0ED10695"/>
    <w:rsid w:val="10615A49"/>
    <w:rsid w:val="11643A43"/>
    <w:rsid w:val="11EC3A38"/>
    <w:rsid w:val="1299771C"/>
    <w:rsid w:val="12C329EB"/>
    <w:rsid w:val="147F6DE6"/>
    <w:rsid w:val="154C4F1A"/>
    <w:rsid w:val="16563D2E"/>
    <w:rsid w:val="17AA5F28"/>
    <w:rsid w:val="181D2B9D"/>
    <w:rsid w:val="199E1ABC"/>
    <w:rsid w:val="19B2125E"/>
    <w:rsid w:val="19CC03D7"/>
    <w:rsid w:val="19F4792E"/>
    <w:rsid w:val="1AAB515B"/>
    <w:rsid w:val="1AAC0209"/>
    <w:rsid w:val="1B2B6B29"/>
    <w:rsid w:val="1B3426D8"/>
    <w:rsid w:val="1B723200"/>
    <w:rsid w:val="1C8E406A"/>
    <w:rsid w:val="1CD221A8"/>
    <w:rsid w:val="1D81597C"/>
    <w:rsid w:val="1DF443A0"/>
    <w:rsid w:val="20DD55C0"/>
    <w:rsid w:val="20F87D04"/>
    <w:rsid w:val="219519F6"/>
    <w:rsid w:val="21C83B7A"/>
    <w:rsid w:val="22714212"/>
    <w:rsid w:val="22CF2CE6"/>
    <w:rsid w:val="238B30B1"/>
    <w:rsid w:val="24266C9B"/>
    <w:rsid w:val="25E35426"/>
    <w:rsid w:val="261F3F85"/>
    <w:rsid w:val="26B75F6B"/>
    <w:rsid w:val="27DA0163"/>
    <w:rsid w:val="284E0B51"/>
    <w:rsid w:val="286B34B1"/>
    <w:rsid w:val="28AA3FD9"/>
    <w:rsid w:val="28CF57EE"/>
    <w:rsid w:val="291458F7"/>
    <w:rsid w:val="2A4144C9"/>
    <w:rsid w:val="2A703001"/>
    <w:rsid w:val="2AB7478C"/>
    <w:rsid w:val="2B522706"/>
    <w:rsid w:val="2E1B7727"/>
    <w:rsid w:val="2EC13E2B"/>
    <w:rsid w:val="2EDA4EED"/>
    <w:rsid w:val="2F000DF7"/>
    <w:rsid w:val="2F191EB9"/>
    <w:rsid w:val="2F1F0035"/>
    <w:rsid w:val="2FFD06B0"/>
    <w:rsid w:val="3038011D"/>
    <w:rsid w:val="308B0B94"/>
    <w:rsid w:val="30D51E0F"/>
    <w:rsid w:val="314D409C"/>
    <w:rsid w:val="3216448E"/>
    <w:rsid w:val="32904240"/>
    <w:rsid w:val="33B977C6"/>
    <w:rsid w:val="33D37012"/>
    <w:rsid w:val="34401C96"/>
    <w:rsid w:val="348953EB"/>
    <w:rsid w:val="353C420B"/>
    <w:rsid w:val="36D87F64"/>
    <w:rsid w:val="373DD0A0"/>
    <w:rsid w:val="373F8789"/>
    <w:rsid w:val="37405B09"/>
    <w:rsid w:val="374FBF1B"/>
    <w:rsid w:val="37500442"/>
    <w:rsid w:val="37FF59C4"/>
    <w:rsid w:val="382D42DF"/>
    <w:rsid w:val="3851621F"/>
    <w:rsid w:val="38EFDF65"/>
    <w:rsid w:val="391D3503"/>
    <w:rsid w:val="3A0B68A2"/>
    <w:rsid w:val="3AA60379"/>
    <w:rsid w:val="3AAA60BB"/>
    <w:rsid w:val="3B023801"/>
    <w:rsid w:val="3B934DA1"/>
    <w:rsid w:val="3C5F2ED5"/>
    <w:rsid w:val="3C812E4B"/>
    <w:rsid w:val="3C8B5A78"/>
    <w:rsid w:val="3CE60F00"/>
    <w:rsid w:val="3CF655E7"/>
    <w:rsid w:val="3D211F38"/>
    <w:rsid w:val="3E3D0FF4"/>
    <w:rsid w:val="3F19380F"/>
    <w:rsid w:val="3FDD6460"/>
    <w:rsid w:val="3FF1CAE2"/>
    <w:rsid w:val="3FFB2FCC"/>
    <w:rsid w:val="409B0219"/>
    <w:rsid w:val="42A66E24"/>
    <w:rsid w:val="436D4129"/>
    <w:rsid w:val="43A86F10"/>
    <w:rsid w:val="44366C11"/>
    <w:rsid w:val="452B429C"/>
    <w:rsid w:val="456B6447"/>
    <w:rsid w:val="457F044A"/>
    <w:rsid w:val="459040FF"/>
    <w:rsid w:val="45A1630C"/>
    <w:rsid w:val="46FE3A16"/>
    <w:rsid w:val="471274C2"/>
    <w:rsid w:val="4A805944"/>
    <w:rsid w:val="4D1473C4"/>
    <w:rsid w:val="4D3D4B6D"/>
    <w:rsid w:val="4D407574"/>
    <w:rsid w:val="4D4C3002"/>
    <w:rsid w:val="4D5A74CD"/>
    <w:rsid w:val="4D76E210"/>
    <w:rsid w:val="4DAA24BA"/>
    <w:rsid w:val="4E2F6477"/>
    <w:rsid w:val="4EE74D90"/>
    <w:rsid w:val="4F806F93"/>
    <w:rsid w:val="4FBC446F"/>
    <w:rsid w:val="50242014"/>
    <w:rsid w:val="5100038B"/>
    <w:rsid w:val="511835A3"/>
    <w:rsid w:val="51251DE5"/>
    <w:rsid w:val="512E4EF8"/>
    <w:rsid w:val="516A7EFA"/>
    <w:rsid w:val="51864D34"/>
    <w:rsid w:val="51F32F3D"/>
    <w:rsid w:val="523429E2"/>
    <w:rsid w:val="529B6904"/>
    <w:rsid w:val="5382152B"/>
    <w:rsid w:val="53FFA9E9"/>
    <w:rsid w:val="55630EE8"/>
    <w:rsid w:val="55CF657E"/>
    <w:rsid w:val="55F54236"/>
    <w:rsid w:val="564C5E20"/>
    <w:rsid w:val="56550E2C"/>
    <w:rsid w:val="57370C81"/>
    <w:rsid w:val="577712BE"/>
    <w:rsid w:val="57AC45D1"/>
    <w:rsid w:val="57FDEE3C"/>
    <w:rsid w:val="58FE1654"/>
    <w:rsid w:val="59F91E1B"/>
    <w:rsid w:val="5A147E2F"/>
    <w:rsid w:val="5AAC3332"/>
    <w:rsid w:val="5AF34ABD"/>
    <w:rsid w:val="5B7C4AB2"/>
    <w:rsid w:val="5B9718EC"/>
    <w:rsid w:val="5CD252D1"/>
    <w:rsid w:val="5D011713"/>
    <w:rsid w:val="5D296EBB"/>
    <w:rsid w:val="5D7243BE"/>
    <w:rsid w:val="5DD230AF"/>
    <w:rsid w:val="5DEC23C3"/>
    <w:rsid w:val="5E7C0E8F"/>
    <w:rsid w:val="5EF71D81"/>
    <w:rsid w:val="5F5F4699"/>
    <w:rsid w:val="5F9D4512"/>
    <w:rsid w:val="5FDEBE7A"/>
    <w:rsid w:val="602A24EC"/>
    <w:rsid w:val="60830691"/>
    <w:rsid w:val="61774699"/>
    <w:rsid w:val="63691DC0"/>
    <w:rsid w:val="63CF89C6"/>
    <w:rsid w:val="64375170"/>
    <w:rsid w:val="644DA009"/>
    <w:rsid w:val="64663102"/>
    <w:rsid w:val="64746C6E"/>
    <w:rsid w:val="652C7549"/>
    <w:rsid w:val="671B1623"/>
    <w:rsid w:val="67544B35"/>
    <w:rsid w:val="67B101D9"/>
    <w:rsid w:val="67DD4B2A"/>
    <w:rsid w:val="68352BB8"/>
    <w:rsid w:val="68F640F6"/>
    <w:rsid w:val="698B12BB"/>
    <w:rsid w:val="699B4C9D"/>
    <w:rsid w:val="6A026ACA"/>
    <w:rsid w:val="6B5F753A"/>
    <w:rsid w:val="6BE531E0"/>
    <w:rsid w:val="6C5A499B"/>
    <w:rsid w:val="6D836174"/>
    <w:rsid w:val="6D875C64"/>
    <w:rsid w:val="6DDA2238"/>
    <w:rsid w:val="6E55366C"/>
    <w:rsid w:val="6EAB3BD4"/>
    <w:rsid w:val="6EBC5A67"/>
    <w:rsid w:val="6EFC1D3A"/>
    <w:rsid w:val="6F2D37AB"/>
    <w:rsid w:val="6FCB9122"/>
    <w:rsid w:val="6FF5DF78"/>
    <w:rsid w:val="70E909E4"/>
    <w:rsid w:val="70FD7FEB"/>
    <w:rsid w:val="712437CA"/>
    <w:rsid w:val="71A861A9"/>
    <w:rsid w:val="71CFC877"/>
    <w:rsid w:val="71FB452B"/>
    <w:rsid w:val="72A93F87"/>
    <w:rsid w:val="72C40DC1"/>
    <w:rsid w:val="731358A4"/>
    <w:rsid w:val="73165394"/>
    <w:rsid w:val="736D76AA"/>
    <w:rsid w:val="73734595"/>
    <w:rsid w:val="737F9A8B"/>
    <w:rsid w:val="739D891C"/>
    <w:rsid w:val="73B01345"/>
    <w:rsid w:val="73DB1893"/>
    <w:rsid w:val="73E65628"/>
    <w:rsid w:val="73F12089"/>
    <w:rsid w:val="75B6295A"/>
    <w:rsid w:val="763415CA"/>
    <w:rsid w:val="76F53C3E"/>
    <w:rsid w:val="77336515"/>
    <w:rsid w:val="778DF474"/>
    <w:rsid w:val="77BCE56A"/>
    <w:rsid w:val="77EB1FD3"/>
    <w:rsid w:val="784B5AE0"/>
    <w:rsid w:val="787569A8"/>
    <w:rsid w:val="79B54A5F"/>
    <w:rsid w:val="7B1B5859"/>
    <w:rsid w:val="7B914152"/>
    <w:rsid w:val="7BDB5FFA"/>
    <w:rsid w:val="7BDC717B"/>
    <w:rsid w:val="7BDF4CB0"/>
    <w:rsid w:val="7BFF668D"/>
    <w:rsid w:val="7C1D1542"/>
    <w:rsid w:val="7C3F595C"/>
    <w:rsid w:val="7CAD0B17"/>
    <w:rsid w:val="7CE75497"/>
    <w:rsid w:val="7CFDC2D6"/>
    <w:rsid w:val="7DB7905A"/>
    <w:rsid w:val="7DD9608D"/>
    <w:rsid w:val="7DF7E71E"/>
    <w:rsid w:val="7E7318ED"/>
    <w:rsid w:val="7E7B9286"/>
    <w:rsid w:val="7E977CD1"/>
    <w:rsid w:val="7EDB4ADC"/>
    <w:rsid w:val="7EFF2298"/>
    <w:rsid w:val="7F3F1EF3"/>
    <w:rsid w:val="7F5160D2"/>
    <w:rsid w:val="7F752938"/>
    <w:rsid w:val="7F963AE5"/>
    <w:rsid w:val="7FDF4002"/>
    <w:rsid w:val="7FEE5AFF"/>
    <w:rsid w:val="7FEFCC81"/>
    <w:rsid w:val="7FF91E22"/>
    <w:rsid w:val="7FFFD74E"/>
    <w:rsid w:val="89DFA4A7"/>
    <w:rsid w:val="8FFBBDBF"/>
    <w:rsid w:val="94CFC0D7"/>
    <w:rsid w:val="9B7F69E4"/>
    <w:rsid w:val="9F6EE741"/>
    <w:rsid w:val="9F7AE139"/>
    <w:rsid w:val="A73CD453"/>
    <w:rsid w:val="A7FD895F"/>
    <w:rsid w:val="A9FBC0AA"/>
    <w:rsid w:val="AED338FA"/>
    <w:rsid w:val="B6E7D412"/>
    <w:rsid w:val="B7F4D66A"/>
    <w:rsid w:val="B9CFCD82"/>
    <w:rsid w:val="BA699EC6"/>
    <w:rsid w:val="BBBF1130"/>
    <w:rsid w:val="BF9F67EB"/>
    <w:rsid w:val="BFF7F5C6"/>
    <w:rsid w:val="CFE5DFC6"/>
    <w:rsid w:val="CFFA8218"/>
    <w:rsid w:val="CFFED9FD"/>
    <w:rsid w:val="D5EF19F8"/>
    <w:rsid w:val="DF37D85E"/>
    <w:rsid w:val="DFFF1ECB"/>
    <w:rsid w:val="E5FF23F2"/>
    <w:rsid w:val="E783B370"/>
    <w:rsid w:val="EB5300B2"/>
    <w:rsid w:val="EB7DE4F0"/>
    <w:rsid w:val="ED9788CC"/>
    <w:rsid w:val="EDF51B79"/>
    <w:rsid w:val="EDFEEF3B"/>
    <w:rsid w:val="EEF7D94A"/>
    <w:rsid w:val="EF3998D9"/>
    <w:rsid w:val="EF67DEB9"/>
    <w:rsid w:val="EFC2771A"/>
    <w:rsid w:val="EFEBACFE"/>
    <w:rsid w:val="F26B4302"/>
    <w:rsid w:val="F6BA9F14"/>
    <w:rsid w:val="F7FF8CCC"/>
    <w:rsid w:val="F964A1E0"/>
    <w:rsid w:val="FB792105"/>
    <w:rsid w:val="FBBFD4FA"/>
    <w:rsid w:val="FBFD41F2"/>
    <w:rsid w:val="FBFF177B"/>
    <w:rsid w:val="FBFF6F25"/>
    <w:rsid w:val="FCBB135C"/>
    <w:rsid w:val="FCFFC2C8"/>
    <w:rsid w:val="FDD66A51"/>
    <w:rsid w:val="FEBFB9DB"/>
    <w:rsid w:val="FEFF2806"/>
    <w:rsid w:val="FEFFFA79"/>
    <w:rsid w:val="FF7F5EAC"/>
    <w:rsid w:val="FFA74532"/>
    <w:rsid w:val="FFDF9EF8"/>
    <w:rsid w:val="FFEC4173"/>
    <w:rsid w:val="FFF71EA5"/>
    <w:rsid w:val="FFFF4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656</Words>
  <Characters>664</Characters>
  <Lines>0</Lines>
  <Paragraphs>0</Paragraphs>
  <TotalTime>65</TotalTime>
  <ScaleCrop>false</ScaleCrop>
  <LinksUpToDate>false</LinksUpToDate>
  <CharactersWithSpaces>667</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2025-01-08T21:03:00Z</dcterms:created>
  <dc:creator>陈锐鹏</dc:creator>
  <cp:lastModifiedBy>greatwall</cp:lastModifiedBy>
  <cp:lastPrinted>2025-03-12T18:13:00Z</cp:lastPrinted>
  <dcterms:modified xsi:type="dcterms:W3CDTF">2025-05-30T15:21:44Z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69BB699C3ECD4525B1FAA2F78AD3BDCC_13</vt:lpwstr>
  </property>
</Properties>
</file>